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F2" w:rsidRDefault="00966B61" w:rsidP="006935F2">
      <w:pPr>
        <w:ind w:left="2880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77470</wp:posOffset>
            </wp:positionV>
            <wp:extent cx="6191885" cy="654685"/>
            <wp:effectExtent l="19050" t="0" r="18415" b="0"/>
            <wp:wrapTight wrapText="bothSides">
              <wp:wrapPolygon edited="0">
                <wp:start x="66" y="1257"/>
                <wp:lineTo x="-66" y="5028"/>
                <wp:lineTo x="-66" y="19484"/>
                <wp:lineTo x="332" y="20741"/>
                <wp:lineTo x="2392" y="20741"/>
                <wp:lineTo x="21598" y="20741"/>
                <wp:lineTo x="21664" y="20741"/>
                <wp:lineTo x="21664" y="2514"/>
                <wp:lineTo x="21531" y="1257"/>
                <wp:lineTo x="66" y="1257"/>
              </wp:wrapPolygon>
            </wp:wrapTight>
            <wp:docPr id="3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6935F2">
        <w:t xml:space="preserve">                      </w:t>
      </w:r>
      <w:r w:rsidR="00CE7DD2" w:rsidRPr="00CE7DD2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-468923</wp:posOffset>
            </wp:positionV>
            <wp:extent cx="6185095" cy="545123"/>
            <wp:effectExtent l="19050" t="0" r="25205" b="0"/>
            <wp:wrapTight wrapText="bothSides">
              <wp:wrapPolygon edited="0">
                <wp:start x="0" y="1510"/>
                <wp:lineTo x="-67" y="19626"/>
                <wp:lineTo x="266" y="20381"/>
                <wp:lineTo x="2395" y="20381"/>
                <wp:lineTo x="21688" y="20381"/>
                <wp:lineTo x="21688" y="3019"/>
                <wp:lineTo x="21621" y="1510"/>
                <wp:lineTo x="0" y="1510"/>
              </wp:wrapPolygon>
            </wp:wrapTight>
            <wp:docPr id="3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6935F2">
        <w:t xml:space="preserve">                                                       Name___________________</w:t>
      </w:r>
    </w:p>
    <w:p w:rsidR="006935F2" w:rsidRDefault="006935F2" w:rsidP="006935F2">
      <w:pPr>
        <w:jc w:val="right"/>
      </w:pPr>
      <w:r>
        <w:t>Date____________________</w:t>
      </w:r>
    </w:p>
    <w:p w:rsidR="006935F2" w:rsidRDefault="006935F2" w:rsidP="006935F2">
      <w:pPr>
        <w:pStyle w:val="Heading1"/>
        <w:jc w:val="center"/>
      </w:pPr>
      <w:r>
        <w:t>Nutrients in Feed</w:t>
      </w:r>
    </w:p>
    <w:p w:rsidR="006935F2" w:rsidRPr="005D1100" w:rsidRDefault="006935F2" w:rsidP="006935F2">
      <w:pPr>
        <w:pStyle w:val="NoSpacing"/>
        <w:rPr>
          <w:b/>
        </w:rPr>
      </w:pPr>
      <w:r>
        <w:rPr>
          <w:b/>
        </w:rPr>
        <w:t>Purpose</w:t>
      </w:r>
    </w:p>
    <w:p w:rsidR="0011115A" w:rsidRDefault="006935F2" w:rsidP="006935F2">
      <w:r>
        <w:t>The purpose of this exercise is to identify nutrients in feed by performing chemical tests.</w:t>
      </w:r>
      <w:r>
        <w:rPr>
          <w:rStyle w:val="EndnoteReference"/>
        </w:rPr>
        <w:endnoteReference w:id="1"/>
      </w:r>
    </w:p>
    <w:p w:rsidR="00CC6231" w:rsidRDefault="00CC6231" w:rsidP="00CC6231">
      <w:pPr>
        <w:pStyle w:val="NoSpacing"/>
        <w:rPr>
          <w:b/>
        </w:rPr>
      </w:pPr>
      <w:r w:rsidRPr="00CC6231">
        <w:rPr>
          <w:b/>
        </w:rPr>
        <w:t>Procedure</w:t>
      </w:r>
    </w:p>
    <w:p w:rsidR="00CC6231" w:rsidRDefault="00CC6231" w:rsidP="00CC6231">
      <w:pPr>
        <w:pStyle w:val="NoSpacing"/>
        <w:rPr>
          <w:b/>
        </w:rPr>
      </w:pPr>
      <w:r>
        <w:rPr>
          <w:b/>
        </w:rPr>
        <w:t xml:space="preserve">  Materials</w:t>
      </w:r>
    </w:p>
    <w:p w:rsidR="00CC6231" w:rsidRDefault="00CC6231" w:rsidP="00CC6231">
      <w:pPr>
        <w:pStyle w:val="NoSpacing"/>
        <w:numPr>
          <w:ilvl w:val="0"/>
          <w:numId w:val="1"/>
        </w:numPr>
      </w:pPr>
      <w:r>
        <w:t>Safety goggles</w:t>
      </w:r>
      <w:r w:rsidR="00850B7F">
        <w:tab/>
      </w:r>
      <w:r w:rsidR="00850B7F">
        <w:tab/>
      </w:r>
      <w:r w:rsidR="00850B7F">
        <w:tab/>
        <w:t xml:space="preserve">9. </w:t>
      </w:r>
      <w:r>
        <w:t xml:space="preserve"> Test tube holder &amp; rack</w:t>
      </w:r>
    </w:p>
    <w:p w:rsidR="00CC6231" w:rsidRDefault="00CC6231" w:rsidP="00CC6231">
      <w:pPr>
        <w:pStyle w:val="NoSpacing"/>
        <w:numPr>
          <w:ilvl w:val="0"/>
          <w:numId w:val="1"/>
        </w:numPr>
      </w:pPr>
      <w:r>
        <w:t>Whole milk</w:t>
      </w:r>
      <w:r w:rsidR="00850B7F">
        <w:tab/>
      </w:r>
      <w:r w:rsidR="00850B7F">
        <w:tab/>
      </w:r>
      <w:r w:rsidR="00850B7F">
        <w:tab/>
        <w:t xml:space="preserve">10. </w:t>
      </w:r>
      <w:r>
        <w:t xml:space="preserve"> Test tubes</w:t>
      </w:r>
    </w:p>
    <w:p w:rsidR="00CC6231" w:rsidRDefault="00CC6231" w:rsidP="00CC6231">
      <w:pPr>
        <w:pStyle w:val="NoSpacing"/>
        <w:numPr>
          <w:ilvl w:val="0"/>
          <w:numId w:val="1"/>
        </w:numPr>
      </w:pPr>
      <w:r>
        <w:t>Various food/feeds</w:t>
      </w:r>
      <w:r w:rsidR="00850B7F">
        <w:tab/>
      </w:r>
      <w:r w:rsidR="00850B7F">
        <w:tab/>
        <w:t xml:space="preserve">11. </w:t>
      </w:r>
      <w:r>
        <w:t xml:space="preserve"> Ceramic Crucible</w:t>
      </w:r>
    </w:p>
    <w:p w:rsidR="00CC6231" w:rsidRDefault="00CC6231" w:rsidP="00CC6231">
      <w:pPr>
        <w:pStyle w:val="NoSpacing"/>
        <w:numPr>
          <w:ilvl w:val="0"/>
          <w:numId w:val="1"/>
        </w:numPr>
      </w:pPr>
      <w:r>
        <w:t>Hot plate</w:t>
      </w:r>
      <w:r w:rsidR="00850B7F">
        <w:tab/>
      </w:r>
      <w:r w:rsidR="00850B7F">
        <w:tab/>
      </w:r>
      <w:r w:rsidR="00850B7F">
        <w:tab/>
        <w:t xml:space="preserve">12. </w:t>
      </w:r>
      <w:r>
        <w:t xml:space="preserve"> Brown paper bag</w:t>
      </w:r>
    </w:p>
    <w:p w:rsidR="00850B7F" w:rsidRDefault="00CC6231" w:rsidP="00CC6231">
      <w:pPr>
        <w:pStyle w:val="NoSpacing"/>
        <w:numPr>
          <w:ilvl w:val="0"/>
          <w:numId w:val="1"/>
        </w:numPr>
      </w:pPr>
      <w:r>
        <w:t>Large beaker</w:t>
      </w:r>
    </w:p>
    <w:p w:rsidR="00850B7F" w:rsidRPr="00850B7F" w:rsidRDefault="00CC6231" w:rsidP="00CC6231">
      <w:pPr>
        <w:pStyle w:val="NoSpacing"/>
        <w:numPr>
          <w:ilvl w:val="0"/>
          <w:numId w:val="1"/>
        </w:numPr>
      </w:pPr>
      <w:r>
        <w:t>Biuret reagent</w:t>
      </w:r>
      <w:r w:rsidR="00850B7F">
        <w:t xml:space="preserve"> </w:t>
      </w:r>
      <w:r w:rsidR="00850B7F" w:rsidRPr="00850B7F">
        <w:rPr>
          <w:sz w:val="16"/>
          <w:szCs w:val="16"/>
        </w:rPr>
        <w:t>(Available through science retailer; light blue solution turns pink in the presence of protein.</w:t>
      </w:r>
      <w:r w:rsidR="00850B7F">
        <w:rPr>
          <w:sz w:val="16"/>
          <w:szCs w:val="16"/>
        </w:rPr>
        <w:t>)</w:t>
      </w:r>
    </w:p>
    <w:p w:rsidR="00CC6231" w:rsidRDefault="00CC6231" w:rsidP="00CC6231">
      <w:pPr>
        <w:pStyle w:val="NoSpacing"/>
        <w:numPr>
          <w:ilvl w:val="0"/>
          <w:numId w:val="1"/>
        </w:numPr>
      </w:pPr>
      <w:r>
        <w:t xml:space="preserve">Lugol’s </w:t>
      </w:r>
      <w:r w:rsidR="00EA0788">
        <w:t>Iodine (</w:t>
      </w:r>
      <w:r w:rsidRPr="00850B7F">
        <w:rPr>
          <w:sz w:val="16"/>
          <w:szCs w:val="16"/>
        </w:rPr>
        <w:t>Available through science retailer; dark solution used to test for starch.)</w:t>
      </w:r>
    </w:p>
    <w:p w:rsidR="00CC6231" w:rsidRPr="00850B7F" w:rsidRDefault="00CC6231" w:rsidP="00CC6231">
      <w:pPr>
        <w:pStyle w:val="NoSpacing"/>
        <w:numPr>
          <w:ilvl w:val="0"/>
          <w:numId w:val="1"/>
        </w:numPr>
      </w:pPr>
      <w:r>
        <w:t xml:space="preserve">Benedict’s solution </w:t>
      </w:r>
      <w:r w:rsidRPr="00CC6231">
        <w:rPr>
          <w:sz w:val="16"/>
          <w:szCs w:val="16"/>
        </w:rPr>
        <w:t>(Available th</w:t>
      </w:r>
      <w:r>
        <w:rPr>
          <w:sz w:val="16"/>
          <w:szCs w:val="16"/>
        </w:rPr>
        <w:t xml:space="preserve">rough science retailer; </w:t>
      </w:r>
      <w:r w:rsidRPr="00CC6231">
        <w:rPr>
          <w:sz w:val="16"/>
          <w:szCs w:val="16"/>
        </w:rPr>
        <w:t>clear blue solution of sodium and copper salts used to test for simple sugars.)</w:t>
      </w:r>
    </w:p>
    <w:p w:rsidR="00850B7F" w:rsidRDefault="00850B7F" w:rsidP="00850B7F">
      <w:pPr>
        <w:pStyle w:val="NoSpacing"/>
        <w:rPr>
          <w:sz w:val="16"/>
          <w:szCs w:val="16"/>
        </w:rPr>
      </w:pPr>
    </w:p>
    <w:p w:rsidR="00850B7F" w:rsidRDefault="00850B7F" w:rsidP="00850B7F">
      <w:pPr>
        <w:pStyle w:val="NoSpacing"/>
        <w:rPr>
          <w:b/>
        </w:rPr>
      </w:pPr>
      <w:r>
        <w:rPr>
          <w:b/>
        </w:rPr>
        <w:t>Sequence of Steps</w:t>
      </w:r>
    </w:p>
    <w:p w:rsidR="00850B7F" w:rsidRPr="00B846FE" w:rsidRDefault="00850B7F" w:rsidP="00850B7F">
      <w:pPr>
        <w:pStyle w:val="NoSpacing"/>
      </w:pPr>
      <w:r w:rsidRPr="00B846FE">
        <w:t>Caution! Follow all lab safety rules when completing this lab. Wear safety goggles and a lab apron. Test small samples at a time and clean materials thoroughly when finished.</w:t>
      </w:r>
    </w:p>
    <w:p w:rsidR="00850B7F" w:rsidRDefault="00850B7F" w:rsidP="00850B7F">
      <w:pPr>
        <w:pStyle w:val="NoSpacing"/>
        <w:rPr>
          <w:i/>
        </w:rPr>
      </w:pPr>
    </w:p>
    <w:p w:rsidR="00850B7F" w:rsidRDefault="00850B7F" w:rsidP="00850B7F">
      <w:pPr>
        <w:pStyle w:val="NoSpacing"/>
        <w:numPr>
          <w:ilvl w:val="0"/>
          <w:numId w:val="2"/>
        </w:numPr>
      </w:pPr>
      <w:r>
        <w:t>Test for water</w:t>
      </w:r>
    </w:p>
    <w:p w:rsidR="00850B7F" w:rsidRDefault="00850B7F" w:rsidP="00850B7F">
      <w:pPr>
        <w:pStyle w:val="NoSpacing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307975</wp:posOffset>
            </wp:positionV>
            <wp:extent cx="191770" cy="257810"/>
            <wp:effectExtent l="19050" t="0" r="0" b="0"/>
            <wp:wrapNone/>
            <wp:docPr id="3" name="Picture 1" descr="C:\Users\Angela\AppData\Local\Microsoft\Windows\Temporary Internet Files\Content.IE5\DRP2N1IJ\MCj04242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Temporary Internet Files\Content.IE5\DRP2N1IJ\MCj0424230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Place the feed samples in a crucible. Using a test tube holder, hold an inverted test tube over the crucible. Heat the food until only a residue remains. Any fluid that condenses on the glass surface is water.       Using a scale of 0-10, 0 representing no water and 10 representing a lot of water, record what you see for each feed sample under “observations”.</w:t>
      </w:r>
    </w:p>
    <w:p w:rsidR="00850B7F" w:rsidRDefault="00850B7F" w:rsidP="00850B7F">
      <w:pPr>
        <w:pStyle w:val="NoSpacing"/>
        <w:ind w:left="1440"/>
      </w:pPr>
    </w:p>
    <w:p w:rsidR="00850B7F" w:rsidRDefault="00850B7F" w:rsidP="00850B7F">
      <w:pPr>
        <w:pStyle w:val="NoSpacing"/>
        <w:numPr>
          <w:ilvl w:val="0"/>
          <w:numId w:val="2"/>
        </w:numPr>
      </w:pPr>
      <w:r>
        <w:t>Test for sugar</w:t>
      </w:r>
    </w:p>
    <w:p w:rsidR="00850B7F" w:rsidRDefault="00850B7F" w:rsidP="00850B7F">
      <w:pPr>
        <w:pStyle w:val="NoSpacing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316230</wp:posOffset>
            </wp:positionV>
            <wp:extent cx="191770" cy="257810"/>
            <wp:effectExtent l="19050" t="0" r="0" b="0"/>
            <wp:wrapNone/>
            <wp:docPr id="1" name="Picture 1" descr="C:\Users\Angela\AppData\Local\Microsoft\Windows\Temporary Internet Files\Content.IE5\DRP2N1IJ\MCj04242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Temporary Internet Files\Content.IE5\DRP2N1IJ\MCj0424230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Add 5mL (10 drops) of Benedict’s solution to a test tube containing a feed sample. Heat gently in a boiling water bath. The solution will turn green to brick red, depending on the amount of sugar.       Using a scale of 0-10, 0 representing no change in color/no sugar and 10 representing a red color/a lot of sugar, record what you see for each feed sample under “observations”.</w:t>
      </w:r>
    </w:p>
    <w:p w:rsidR="00850B7F" w:rsidRDefault="00850B7F" w:rsidP="00850B7F">
      <w:pPr>
        <w:pStyle w:val="NoSpacing"/>
      </w:pPr>
    </w:p>
    <w:p w:rsidR="00850B7F" w:rsidRDefault="00850B7F" w:rsidP="00850B7F">
      <w:pPr>
        <w:pStyle w:val="NoSpacing"/>
        <w:numPr>
          <w:ilvl w:val="0"/>
          <w:numId w:val="2"/>
        </w:numPr>
      </w:pPr>
      <w:r>
        <w:t>Test for starch</w:t>
      </w:r>
    </w:p>
    <w:p w:rsidR="00850B7F" w:rsidRDefault="00850B7F" w:rsidP="00850B7F">
      <w:pPr>
        <w:pStyle w:val="NoSpacing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124460</wp:posOffset>
            </wp:positionV>
            <wp:extent cx="191770" cy="257810"/>
            <wp:effectExtent l="19050" t="0" r="0" b="0"/>
            <wp:wrapNone/>
            <wp:docPr id="4" name="Picture 1" descr="C:\Users\Angela\AppData\Local\Microsoft\Windows\Temporary Internet Files\Content.IE5\DRP2N1IJ\MCj04242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Temporary Internet Files\Content.IE5\DRP2N1IJ\MCj0424230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Place a drop of Lugol’s iodine on a food sample. The drop will turn blue-black if starch is present.       Using a scale of 0-10, 0 representing no starch and 10 representing </w:t>
      </w:r>
      <w:r w:rsidR="00EA0788">
        <w:t>high</w:t>
      </w:r>
      <w:r>
        <w:t xml:space="preserve"> starch content, record what you see for each feed sample under “observations”.</w:t>
      </w:r>
    </w:p>
    <w:p w:rsidR="00850B7F" w:rsidRDefault="00850B7F" w:rsidP="00850B7F">
      <w:pPr>
        <w:pStyle w:val="NoSpacing"/>
      </w:pPr>
    </w:p>
    <w:p w:rsidR="00850B7F" w:rsidRDefault="00850B7F" w:rsidP="00850B7F">
      <w:pPr>
        <w:pStyle w:val="NoSpacing"/>
        <w:numPr>
          <w:ilvl w:val="0"/>
          <w:numId w:val="2"/>
        </w:numPr>
      </w:pPr>
      <w:r>
        <w:lastRenderedPageBreak/>
        <w:t>Test for Fat</w:t>
      </w:r>
    </w:p>
    <w:p w:rsidR="00850B7F" w:rsidRDefault="00966B61" w:rsidP="00850B7F">
      <w:pPr>
        <w:pStyle w:val="NoSpacing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315595</wp:posOffset>
            </wp:positionV>
            <wp:extent cx="191770" cy="257810"/>
            <wp:effectExtent l="19050" t="0" r="0" b="0"/>
            <wp:wrapNone/>
            <wp:docPr id="6" name="Picture 1" descr="C:\Users\Angela\AppData\Local\Microsoft\Windows\Temporary Internet Files\Content.IE5\DRP2N1IJ\MCj04242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Temporary Internet Files\Content.IE5\DRP2N1IJ\MCj0424230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B7F">
        <w:t xml:space="preserve">Rub a sample of a solid feed or place a few drops of a liquid feed on brown paper. Hold the paper to light. If the feed contains fat, you will see a translucent spot that will not disappear even when dry. </w:t>
      </w:r>
      <w:r w:rsidR="005F0B96">
        <w:t xml:space="preserve">      Using a scale of 0-10, 0 representing no fat and 10 representing a high fat content, record what you see for each feed sample under “observations”.</w:t>
      </w:r>
    </w:p>
    <w:p w:rsidR="005F0B96" w:rsidRDefault="005F0B96" w:rsidP="005F0B96">
      <w:pPr>
        <w:pStyle w:val="NoSpacing"/>
      </w:pPr>
    </w:p>
    <w:p w:rsidR="005F0B96" w:rsidRDefault="005F0B96" w:rsidP="005F0B96">
      <w:pPr>
        <w:pStyle w:val="NoSpacing"/>
        <w:numPr>
          <w:ilvl w:val="0"/>
          <w:numId w:val="2"/>
        </w:numPr>
      </w:pPr>
      <w:r>
        <w:t>Test for Protein</w:t>
      </w:r>
    </w:p>
    <w:p w:rsidR="005F0B96" w:rsidRDefault="00CE7DD2" w:rsidP="005F0B96">
      <w:pPr>
        <w:pStyle w:val="NoSpacing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575945</wp:posOffset>
            </wp:positionV>
            <wp:extent cx="648970" cy="820420"/>
            <wp:effectExtent l="19050" t="0" r="0" b="0"/>
            <wp:wrapNone/>
            <wp:docPr id="8" name="Picture 1" descr="C:\Users\Angela\AppData\Local\Microsoft\Windows\Temporary Internet Files\Content.IE5\DRP2N1IJ\MCj04242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Temporary Internet Files\Content.IE5\DRP2N1IJ\MCj0424230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B96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154940</wp:posOffset>
            </wp:positionV>
            <wp:extent cx="191770" cy="257810"/>
            <wp:effectExtent l="19050" t="0" r="0" b="0"/>
            <wp:wrapNone/>
            <wp:docPr id="7" name="Picture 1" descr="C:\Users\Angela\AppData\Local\Microsoft\Windows\Temporary Internet Files\Content.IE5\DRP2N1IJ\MCj04242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Temporary Internet Files\Content.IE5\DRP2N1IJ\MCj0424230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B96">
        <w:t>Add 2-3 drops of Biuret reagent to a test tube containing a feed sample. A color change from pink to purple indicates the presence of protein.       Using a scale of 0-10, 0 representing no protein and 10 representing high protein content, record what you see for each feed sample under “observations”</w:t>
      </w:r>
      <w:r>
        <w:t>.</w:t>
      </w:r>
    </w:p>
    <w:p w:rsidR="005F0B96" w:rsidRPr="00CE7DD2" w:rsidRDefault="004A3574" w:rsidP="00CE7DD2">
      <w:pPr>
        <w:pStyle w:val="NoSpacing"/>
      </w:pPr>
      <w:r w:rsidRPr="004A3574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85pt;margin-top:11.55pt;width:470.3pt;height:0;z-index:251672576" o:connectortype="straight">
            <v:stroke dashstyle="1 1" endcap="round"/>
          </v:shape>
        </w:pict>
      </w:r>
    </w:p>
    <w:p w:rsidR="005F0B96" w:rsidRDefault="005F0B96" w:rsidP="005F0B96">
      <w:pPr>
        <w:pStyle w:val="NoSpacing"/>
        <w:ind w:firstLine="720"/>
        <w:rPr>
          <w:b/>
        </w:rPr>
      </w:pPr>
      <w:r>
        <w:rPr>
          <w:b/>
        </w:rPr>
        <w:t>Observations</w:t>
      </w:r>
    </w:p>
    <w:p w:rsidR="005F0B96" w:rsidRDefault="005F0B96" w:rsidP="005F0B96">
      <w:pPr>
        <w:pStyle w:val="NoSpacing"/>
      </w:pPr>
      <w:r>
        <w:tab/>
      </w:r>
    </w:p>
    <w:p w:rsidR="00B846FE" w:rsidRDefault="005F0B96" w:rsidP="005F0B96">
      <w:pPr>
        <w:pStyle w:val="NoSpacing"/>
      </w:pPr>
      <w:r>
        <w:tab/>
      </w:r>
    </w:p>
    <w:p w:rsidR="00B846FE" w:rsidRDefault="00B846FE" w:rsidP="005F0B96">
      <w:pPr>
        <w:pStyle w:val="NoSpacing"/>
      </w:pPr>
    </w:p>
    <w:p w:rsidR="005F0B96" w:rsidRPr="00B846FE" w:rsidRDefault="005F0B96" w:rsidP="005F0B96">
      <w:pPr>
        <w:pStyle w:val="NoSpacing"/>
      </w:pPr>
      <w:r w:rsidRPr="00B846FE">
        <w:t>Table 1. Amount of nutrients observed in feed samples.</w:t>
      </w:r>
    </w:p>
    <w:p w:rsidR="005F0B96" w:rsidRPr="005F0B96" w:rsidRDefault="005F0B96" w:rsidP="005F0B96">
      <w:pPr>
        <w:pStyle w:val="NoSpacing"/>
        <w:rPr>
          <w:i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39"/>
        <w:gridCol w:w="1340"/>
        <w:gridCol w:w="1340"/>
        <w:gridCol w:w="1339"/>
        <w:gridCol w:w="1340"/>
        <w:gridCol w:w="1340"/>
        <w:gridCol w:w="1340"/>
      </w:tblGrid>
      <w:tr w:rsidR="005F0B96" w:rsidTr="005F0B96">
        <w:tc>
          <w:tcPr>
            <w:tcW w:w="1339" w:type="dxa"/>
            <w:shd w:val="clear" w:color="auto" w:fill="D6E3BC" w:themeFill="accent3" w:themeFillTint="66"/>
          </w:tcPr>
          <w:p w:rsidR="005F0B96" w:rsidRPr="005F0B96" w:rsidRDefault="005F0B96" w:rsidP="005F0B96">
            <w:pPr>
              <w:pStyle w:val="NoSpacing"/>
            </w:pPr>
            <w:r w:rsidRPr="005F0B96">
              <w:t>Feed</w:t>
            </w:r>
            <w:r>
              <w:t xml:space="preserve"> </w:t>
            </w:r>
          </w:p>
        </w:tc>
        <w:tc>
          <w:tcPr>
            <w:tcW w:w="1340" w:type="dxa"/>
            <w:shd w:val="clear" w:color="auto" w:fill="D6E3BC" w:themeFill="accent3" w:themeFillTint="66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  <w:shd w:val="clear" w:color="auto" w:fill="D6E3BC" w:themeFill="accent3" w:themeFillTint="66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39" w:type="dxa"/>
            <w:shd w:val="clear" w:color="auto" w:fill="D6E3BC" w:themeFill="accent3" w:themeFillTint="66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  <w:shd w:val="clear" w:color="auto" w:fill="D6E3BC" w:themeFill="accent3" w:themeFillTint="66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  <w:shd w:val="clear" w:color="auto" w:fill="D6E3BC" w:themeFill="accent3" w:themeFillTint="66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  <w:shd w:val="clear" w:color="auto" w:fill="D6E3BC" w:themeFill="accent3" w:themeFillTint="66"/>
          </w:tcPr>
          <w:p w:rsidR="005F0B96" w:rsidRDefault="005F0B96" w:rsidP="005F0B96">
            <w:pPr>
              <w:pStyle w:val="NoSpacing"/>
            </w:pPr>
          </w:p>
        </w:tc>
      </w:tr>
      <w:tr w:rsidR="005F0B96" w:rsidTr="005F0B96">
        <w:tc>
          <w:tcPr>
            <w:tcW w:w="1339" w:type="dxa"/>
          </w:tcPr>
          <w:p w:rsidR="005F0B96" w:rsidRDefault="005F0B96" w:rsidP="005F0B96">
            <w:pPr>
              <w:pStyle w:val="NoSpacing"/>
            </w:pPr>
            <w:r>
              <w:t>Water</w:t>
            </w: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39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</w:tr>
      <w:tr w:rsidR="005F0B96" w:rsidTr="005F0B96">
        <w:tc>
          <w:tcPr>
            <w:tcW w:w="1339" w:type="dxa"/>
          </w:tcPr>
          <w:p w:rsidR="005F0B96" w:rsidRDefault="005F0B96" w:rsidP="005F0B96">
            <w:pPr>
              <w:pStyle w:val="NoSpacing"/>
            </w:pPr>
            <w:r>
              <w:t>Sugar</w:t>
            </w: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39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</w:tr>
      <w:tr w:rsidR="005F0B96" w:rsidTr="005F0B96">
        <w:tc>
          <w:tcPr>
            <w:tcW w:w="1339" w:type="dxa"/>
          </w:tcPr>
          <w:p w:rsidR="005F0B96" w:rsidRDefault="005F0B96" w:rsidP="005F0B96">
            <w:pPr>
              <w:pStyle w:val="NoSpacing"/>
            </w:pPr>
            <w:r>
              <w:t>Starch</w:t>
            </w: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39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</w:tr>
      <w:tr w:rsidR="005F0B96" w:rsidTr="005F0B96">
        <w:tc>
          <w:tcPr>
            <w:tcW w:w="1339" w:type="dxa"/>
          </w:tcPr>
          <w:p w:rsidR="005F0B96" w:rsidRDefault="005F0B96" w:rsidP="005F0B96">
            <w:pPr>
              <w:pStyle w:val="NoSpacing"/>
            </w:pPr>
            <w:r>
              <w:t>Fat</w:t>
            </w: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39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</w:tr>
      <w:tr w:rsidR="005F0B96" w:rsidTr="005F0B96">
        <w:tc>
          <w:tcPr>
            <w:tcW w:w="1339" w:type="dxa"/>
          </w:tcPr>
          <w:p w:rsidR="005F0B96" w:rsidRDefault="005F0B96" w:rsidP="005F0B96">
            <w:pPr>
              <w:pStyle w:val="NoSpacing"/>
            </w:pPr>
            <w:r>
              <w:t>Protein</w:t>
            </w: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39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  <w:tc>
          <w:tcPr>
            <w:tcW w:w="1340" w:type="dxa"/>
          </w:tcPr>
          <w:p w:rsidR="005F0B96" w:rsidRDefault="005F0B96" w:rsidP="005F0B96">
            <w:pPr>
              <w:pStyle w:val="NoSpacing"/>
            </w:pPr>
          </w:p>
        </w:tc>
      </w:tr>
    </w:tbl>
    <w:p w:rsidR="005F0B96" w:rsidRDefault="005F0B96" w:rsidP="005F0B96">
      <w:pPr>
        <w:pStyle w:val="NoSpacing"/>
      </w:pPr>
    </w:p>
    <w:p w:rsidR="005F0B96" w:rsidRDefault="005F0B96" w:rsidP="005F0B96">
      <w:pPr>
        <w:pStyle w:val="NoSpacing"/>
        <w:rPr>
          <w:b/>
        </w:rPr>
      </w:pPr>
      <w:r>
        <w:rPr>
          <w:b/>
        </w:rPr>
        <w:t>Conclusions</w:t>
      </w:r>
    </w:p>
    <w:p w:rsidR="005F0B96" w:rsidRDefault="005F0B96" w:rsidP="005F0B96">
      <w:pPr>
        <w:pStyle w:val="NoSpacing"/>
        <w:numPr>
          <w:ilvl w:val="0"/>
          <w:numId w:val="5"/>
        </w:numPr>
      </w:pPr>
      <w:r>
        <w:t>Compare your results with those of other students. Explain any differences?</w:t>
      </w:r>
    </w:p>
    <w:p w:rsidR="005F0B96" w:rsidRDefault="005F0B96" w:rsidP="005F0B96">
      <w:pPr>
        <w:pStyle w:val="NoSpacing"/>
      </w:pPr>
    </w:p>
    <w:p w:rsidR="005F0B96" w:rsidRDefault="005F0B96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935990" w:rsidRDefault="00935990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5F0B96" w:rsidRDefault="005F0B96" w:rsidP="005F0B96">
      <w:pPr>
        <w:pStyle w:val="NoSpacing"/>
      </w:pPr>
    </w:p>
    <w:p w:rsidR="005F0B96" w:rsidRDefault="005F0B96" w:rsidP="005F0B96">
      <w:pPr>
        <w:pStyle w:val="NoSpacing"/>
        <w:numPr>
          <w:ilvl w:val="0"/>
          <w:numId w:val="5"/>
        </w:numPr>
      </w:pPr>
      <w:r>
        <w:t>Why do you think milk has long been considered the “almost perfect food”?</w:t>
      </w:r>
    </w:p>
    <w:p w:rsidR="005F0B96" w:rsidRDefault="005F0B96" w:rsidP="005F0B96">
      <w:pPr>
        <w:pStyle w:val="NoSpacing"/>
      </w:pPr>
    </w:p>
    <w:p w:rsidR="005F0B96" w:rsidRDefault="005F0B96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935990" w:rsidRDefault="00935990" w:rsidP="005F0B96">
      <w:pPr>
        <w:pStyle w:val="NoSpacing"/>
      </w:pPr>
    </w:p>
    <w:p w:rsidR="00935990" w:rsidRDefault="00935990" w:rsidP="005F0B96">
      <w:pPr>
        <w:pStyle w:val="NoSpacing"/>
      </w:pPr>
    </w:p>
    <w:p w:rsidR="005F0B96" w:rsidRDefault="005F0B96" w:rsidP="005F0B96">
      <w:pPr>
        <w:pStyle w:val="NoSpacing"/>
      </w:pPr>
    </w:p>
    <w:p w:rsidR="005F0B96" w:rsidRDefault="005F0B96" w:rsidP="005F0B96">
      <w:pPr>
        <w:pStyle w:val="NoSpacing"/>
        <w:numPr>
          <w:ilvl w:val="0"/>
          <w:numId w:val="5"/>
        </w:numPr>
      </w:pPr>
      <w:r>
        <w:lastRenderedPageBreak/>
        <w:t>If you extended this experiment, how could you use the data to help plan a balanced diet? What would you change about the experiment?</w:t>
      </w:r>
    </w:p>
    <w:p w:rsidR="005F0B96" w:rsidRDefault="005F0B96" w:rsidP="005F0B96">
      <w:pPr>
        <w:pStyle w:val="NoSpacing"/>
      </w:pPr>
    </w:p>
    <w:p w:rsidR="00B846FE" w:rsidRDefault="00B846FE" w:rsidP="005F0B96">
      <w:pPr>
        <w:pStyle w:val="NoSpacing"/>
      </w:pPr>
    </w:p>
    <w:p w:rsidR="00935990" w:rsidRDefault="00935990" w:rsidP="005F0B96">
      <w:pPr>
        <w:pStyle w:val="NoSpacing"/>
      </w:pPr>
    </w:p>
    <w:p w:rsidR="00935990" w:rsidRDefault="00935990" w:rsidP="005F0B96">
      <w:pPr>
        <w:pStyle w:val="NoSpacing"/>
      </w:pPr>
    </w:p>
    <w:p w:rsidR="00935990" w:rsidRDefault="00935990" w:rsidP="005F0B96">
      <w:pPr>
        <w:pStyle w:val="NoSpacing"/>
      </w:pPr>
    </w:p>
    <w:p w:rsidR="00935990" w:rsidRDefault="00935990" w:rsidP="005F0B96">
      <w:pPr>
        <w:pStyle w:val="NoSpacing"/>
      </w:pPr>
    </w:p>
    <w:p w:rsidR="00935990" w:rsidRDefault="00935990" w:rsidP="005F0B96">
      <w:pPr>
        <w:pStyle w:val="NoSpacing"/>
      </w:pPr>
    </w:p>
    <w:p w:rsidR="005F0B96" w:rsidRDefault="005F0B96" w:rsidP="005F0B96">
      <w:pPr>
        <w:pStyle w:val="NoSpacing"/>
        <w:numPr>
          <w:ilvl w:val="0"/>
          <w:numId w:val="5"/>
        </w:numPr>
      </w:pPr>
      <w:r>
        <w:t xml:space="preserve">If a diet is lacking in nutrients, how are </w:t>
      </w:r>
      <w:r w:rsidR="0075109A">
        <w:t>major body systems</w:t>
      </w:r>
      <w:r>
        <w:t xml:space="preserve"> in the animal or human affected? Give 2 examples and explain. </w:t>
      </w:r>
    </w:p>
    <w:p w:rsidR="005F0B96" w:rsidRDefault="005F0B96" w:rsidP="005F0B96">
      <w:pPr>
        <w:pStyle w:val="NoSpacing"/>
      </w:pPr>
    </w:p>
    <w:p w:rsidR="005F0B96" w:rsidRDefault="005F0B96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B846FE" w:rsidRDefault="00B846FE" w:rsidP="005F0B96">
      <w:pPr>
        <w:pStyle w:val="NoSpacing"/>
      </w:pPr>
    </w:p>
    <w:p w:rsidR="008B62FF" w:rsidRDefault="008B62FF" w:rsidP="008B62FF">
      <w:pPr>
        <w:pStyle w:val="NoSpacing"/>
        <w:numPr>
          <w:ilvl w:val="0"/>
          <w:numId w:val="5"/>
        </w:numPr>
      </w:pPr>
      <w:r>
        <w:t>How can high energy feeds affect the growth and success of fair project animals (livestock)?</w:t>
      </w: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B846FE" w:rsidRDefault="00B846FE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  <w:numPr>
          <w:ilvl w:val="0"/>
          <w:numId w:val="5"/>
        </w:numPr>
      </w:pPr>
      <w:r>
        <w:t>Describe how the major body systems remove waste and provide nutrients to the body?</w:t>
      </w: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935990" w:rsidRDefault="00935990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B846FE" w:rsidRDefault="00B846FE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8B62FF" w:rsidRDefault="008B62FF" w:rsidP="008B62FF">
      <w:pPr>
        <w:pStyle w:val="NoSpacing"/>
      </w:pPr>
    </w:p>
    <w:p w:rsidR="005F0B96" w:rsidRPr="00850B7F" w:rsidRDefault="005F0B96" w:rsidP="005F0B96">
      <w:pPr>
        <w:pStyle w:val="NoSpacing"/>
      </w:pPr>
    </w:p>
    <w:sectPr w:rsidR="005F0B96" w:rsidRPr="00850B7F" w:rsidSect="0011115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AB" w:rsidRDefault="00C85DAB" w:rsidP="006935F2">
      <w:pPr>
        <w:spacing w:after="0" w:line="240" w:lineRule="auto"/>
      </w:pPr>
      <w:r>
        <w:separator/>
      </w:r>
    </w:p>
  </w:endnote>
  <w:endnote w:type="continuationSeparator" w:id="0">
    <w:p w:rsidR="00C85DAB" w:rsidRDefault="00C85DAB" w:rsidP="006935F2">
      <w:pPr>
        <w:spacing w:after="0" w:line="240" w:lineRule="auto"/>
      </w:pPr>
      <w:r>
        <w:continuationSeparator/>
      </w:r>
    </w:p>
  </w:endnote>
  <w:endnote w:id="1">
    <w:p w:rsidR="006935F2" w:rsidRPr="00EA5E87" w:rsidRDefault="006935F2" w:rsidP="006935F2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EA5E87">
        <w:rPr>
          <w:sz w:val="16"/>
          <w:szCs w:val="16"/>
          <w:u w:val="single"/>
        </w:rPr>
        <w:t>Agricultural Biology Curriculum Lesson Plans</w:t>
      </w:r>
      <w:r w:rsidRPr="00EA5E87">
        <w:rPr>
          <w:sz w:val="16"/>
          <w:szCs w:val="16"/>
        </w:rPr>
        <w:t>. Sacramento: California State Departmen</w:t>
      </w:r>
      <w:r>
        <w:rPr>
          <w:sz w:val="16"/>
          <w:szCs w:val="16"/>
        </w:rPr>
        <w:t>t</w:t>
      </w:r>
      <w:r w:rsidRPr="00EA5E87">
        <w:rPr>
          <w:sz w:val="16"/>
          <w:szCs w:val="16"/>
        </w:rPr>
        <w:t xml:space="preserve"> of Education, Agriculture Education</w:t>
      </w:r>
      <w:r>
        <w:rPr>
          <w:sz w:val="16"/>
          <w:szCs w:val="16"/>
        </w:rPr>
        <w:t xml:space="preserve"> </w:t>
      </w:r>
      <w:r w:rsidRPr="00EA5E87">
        <w:rPr>
          <w:sz w:val="16"/>
          <w:szCs w:val="16"/>
        </w:rPr>
        <w:t>Unit, 1990.</w:t>
      </w:r>
    </w:p>
    <w:p w:rsidR="006935F2" w:rsidRDefault="006935F2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35990">
      <w:tc>
        <w:tcPr>
          <w:tcW w:w="918" w:type="dxa"/>
        </w:tcPr>
        <w:p w:rsidR="00935990" w:rsidRDefault="004A357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1F47CB" w:rsidRPr="001F47CB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935990" w:rsidRPr="00935990" w:rsidRDefault="00935990" w:rsidP="00935990">
          <w:pPr>
            <w:pStyle w:val="Footer"/>
            <w:jc w:val="righ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LAB E-7</w:t>
          </w:r>
        </w:p>
      </w:tc>
    </w:tr>
  </w:tbl>
  <w:p w:rsidR="00935990" w:rsidRDefault="00935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AB" w:rsidRDefault="00C85DAB" w:rsidP="006935F2">
      <w:pPr>
        <w:spacing w:after="0" w:line="240" w:lineRule="auto"/>
      </w:pPr>
      <w:r>
        <w:separator/>
      </w:r>
    </w:p>
  </w:footnote>
  <w:footnote w:type="continuationSeparator" w:id="0">
    <w:p w:rsidR="00C85DAB" w:rsidRDefault="00C85DAB" w:rsidP="0069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F58"/>
    <w:multiLevelType w:val="hybridMultilevel"/>
    <w:tmpl w:val="FD5424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C7D1E"/>
    <w:multiLevelType w:val="hybridMultilevel"/>
    <w:tmpl w:val="7E0A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711E"/>
    <w:multiLevelType w:val="hybridMultilevel"/>
    <w:tmpl w:val="53E0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C484E"/>
    <w:multiLevelType w:val="hybridMultilevel"/>
    <w:tmpl w:val="8D849330"/>
    <w:lvl w:ilvl="0" w:tplc="8DC2F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52E75"/>
    <w:multiLevelType w:val="hybridMultilevel"/>
    <w:tmpl w:val="39EA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5F2"/>
    <w:rsid w:val="0011115A"/>
    <w:rsid w:val="001F47CB"/>
    <w:rsid w:val="00247526"/>
    <w:rsid w:val="00272758"/>
    <w:rsid w:val="002A6954"/>
    <w:rsid w:val="002E7D5B"/>
    <w:rsid w:val="002F66E8"/>
    <w:rsid w:val="00302434"/>
    <w:rsid w:val="004A3574"/>
    <w:rsid w:val="00526715"/>
    <w:rsid w:val="005F0B96"/>
    <w:rsid w:val="006935F2"/>
    <w:rsid w:val="0075109A"/>
    <w:rsid w:val="00780FE6"/>
    <w:rsid w:val="00850B7F"/>
    <w:rsid w:val="008544C2"/>
    <w:rsid w:val="008B62FF"/>
    <w:rsid w:val="00935990"/>
    <w:rsid w:val="00966B61"/>
    <w:rsid w:val="00B846FE"/>
    <w:rsid w:val="00B97A9E"/>
    <w:rsid w:val="00C85DAB"/>
    <w:rsid w:val="00CB5615"/>
    <w:rsid w:val="00CC6231"/>
    <w:rsid w:val="00CE7DD2"/>
    <w:rsid w:val="00D01D65"/>
    <w:rsid w:val="00D01FB3"/>
    <w:rsid w:val="00DC70BD"/>
    <w:rsid w:val="00EA0788"/>
    <w:rsid w:val="00EB4F9B"/>
    <w:rsid w:val="00F2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F2"/>
  </w:style>
  <w:style w:type="paragraph" w:styleId="Heading1">
    <w:name w:val="heading 1"/>
    <w:basedOn w:val="Normal"/>
    <w:next w:val="Normal"/>
    <w:link w:val="Heading1Char"/>
    <w:uiPriority w:val="9"/>
    <w:qFormat/>
    <w:rsid w:val="0069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935F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935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5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35F2"/>
    <w:rPr>
      <w:vertAlign w:val="superscript"/>
    </w:rPr>
  </w:style>
  <w:style w:type="table" w:styleId="TableGrid">
    <w:name w:val="Table Grid"/>
    <w:basedOn w:val="TableNormal"/>
    <w:uiPriority w:val="59"/>
    <w:rsid w:val="005F0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990"/>
  </w:style>
  <w:style w:type="paragraph" w:styleId="Footer">
    <w:name w:val="footer"/>
    <w:basedOn w:val="Normal"/>
    <w:link w:val="FooterChar"/>
    <w:uiPriority w:val="99"/>
    <w:unhideWhenUsed/>
    <w:rsid w:val="0093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C9244B-6B8D-431D-AE6F-7BCD90AB9A2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D35E908-99EA-4021-B7AA-FFFF751752DA}">
      <dgm:prSet phldrT="[Text]" custT="1"/>
      <dgm:spPr/>
      <dgm:t>
        <a:bodyPr/>
        <a:lstStyle/>
        <a:p>
          <a:r>
            <a:rPr lang="en-US" sz="800"/>
            <a:t>Agriculture Standards</a:t>
          </a:r>
        </a:p>
      </dgm:t>
    </dgm:pt>
    <dgm:pt modelId="{FA98AEA8-BBB6-49D3-A9FD-15D5FFC20870}" type="parTrans" cxnId="{A4DCE4CB-7044-48EC-92E9-056644B64D6E}">
      <dgm:prSet/>
      <dgm:spPr/>
      <dgm:t>
        <a:bodyPr/>
        <a:lstStyle/>
        <a:p>
          <a:endParaRPr lang="en-US"/>
        </a:p>
      </dgm:t>
    </dgm:pt>
    <dgm:pt modelId="{711F6B08-52D1-4548-9C05-18D8AD05C364}" type="sibTrans" cxnId="{A4DCE4CB-7044-48EC-92E9-056644B64D6E}">
      <dgm:prSet/>
      <dgm:spPr/>
      <dgm:t>
        <a:bodyPr/>
        <a:lstStyle/>
        <a:p>
          <a:endParaRPr lang="en-US"/>
        </a:p>
      </dgm:t>
    </dgm:pt>
    <dgm:pt modelId="{3EE877E5-497D-48F8-B93E-6023B73C0C2D}">
      <dgm:prSet phldrT="[Text]" custT="1"/>
      <dgm:spPr/>
      <dgm:t>
        <a:bodyPr/>
        <a:lstStyle/>
        <a:p>
          <a:r>
            <a:rPr lang="en-US" sz="800"/>
            <a:t>(AG) C 6.2, C 8.1, C 8.3, C 13.3, and D 2.3.</a:t>
          </a:r>
        </a:p>
      </dgm:t>
    </dgm:pt>
    <dgm:pt modelId="{BEA43897-41C0-42A4-AE87-FCE7A82F6A6F}" type="parTrans" cxnId="{7B8D2F4D-3AE6-40EE-99D7-39E9255BE223}">
      <dgm:prSet/>
      <dgm:spPr/>
      <dgm:t>
        <a:bodyPr/>
        <a:lstStyle/>
        <a:p>
          <a:endParaRPr lang="en-US"/>
        </a:p>
      </dgm:t>
    </dgm:pt>
    <dgm:pt modelId="{6C418379-0772-4BBC-B3F6-26ADAC407FFA}" type="sibTrans" cxnId="{7B8D2F4D-3AE6-40EE-99D7-39E9255BE223}">
      <dgm:prSet/>
      <dgm:spPr/>
      <dgm:t>
        <a:bodyPr/>
        <a:lstStyle/>
        <a:p>
          <a:endParaRPr lang="en-US"/>
        </a:p>
      </dgm:t>
    </dgm:pt>
    <dgm:pt modelId="{786DB3FD-E812-4877-B69F-00DB3173BB2A}">
      <dgm:prSet phldrT="[Text]" custT="1"/>
      <dgm:spPr/>
      <dgm:t>
        <a:bodyPr/>
        <a:lstStyle/>
        <a:p>
          <a:r>
            <a:rPr lang="en-US" sz="800"/>
            <a:t>(Foundation) 1.1 Mathematics, Specific Applications of Probability and Statistics: (8.0). </a:t>
          </a:r>
        </a:p>
      </dgm:t>
    </dgm:pt>
    <dgm:pt modelId="{05CCCB93-0B3C-4714-9034-7F5EC9E966C9}" type="parTrans" cxnId="{05A5B929-C7D3-486E-A889-A8963AD7F665}">
      <dgm:prSet/>
      <dgm:spPr/>
      <dgm:t>
        <a:bodyPr/>
        <a:lstStyle/>
        <a:p>
          <a:endParaRPr lang="en-US"/>
        </a:p>
      </dgm:t>
    </dgm:pt>
    <dgm:pt modelId="{A6CA643C-E9F9-44B6-8E13-8162919BA6B5}" type="sibTrans" cxnId="{05A5B929-C7D3-486E-A889-A8963AD7F665}">
      <dgm:prSet/>
      <dgm:spPr/>
      <dgm:t>
        <a:bodyPr/>
        <a:lstStyle/>
        <a:p>
          <a:endParaRPr lang="en-US"/>
        </a:p>
      </dgm:t>
    </dgm:pt>
    <dgm:pt modelId="{A12BDEF9-C25B-4822-B840-B982EF74DD63}">
      <dgm:prSet phldrT="[Text]" custT="1"/>
      <dgm:spPr/>
      <dgm:t>
        <a:bodyPr/>
        <a:lstStyle/>
        <a:p>
          <a:r>
            <a:rPr lang="en-US" sz="800"/>
            <a:t>(Foundation) 5.0 </a:t>
          </a:r>
          <a:r>
            <a:rPr lang="en-US" sz="800" i="0"/>
            <a:t>Problem Solving and Critical Thinking: </a:t>
          </a:r>
          <a:r>
            <a:rPr lang="en-US" sz="800"/>
            <a:t>(5.3). </a:t>
          </a:r>
        </a:p>
      </dgm:t>
    </dgm:pt>
    <dgm:pt modelId="{59ED78B4-6549-4D8F-AA6D-926705247978}" type="parTrans" cxnId="{7F7044CC-91DD-408B-AD8D-1B7D6C174E5E}">
      <dgm:prSet/>
      <dgm:spPr/>
      <dgm:t>
        <a:bodyPr/>
        <a:lstStyle/>
        <a:p>
          <a:endParaRPr lang="en-US"/>
        </a:p>
      </dgm:t>
    </dgm:pt>
    <dgm:pt modelId="{DCECD186-0C15-4E3C-ACA0-4437F53EC595}" type="sibTrans" cxnId="{7F7044CC-91DD-408B-AD8D-1B7D6C174E5E}">
      <dgm:prSet/>
      <dgm:spPr/>
      <dgm:t>
        <a:bodyPr/>
        <a:lstStyle/>
        <a:p>
          <a:endParaRPr lang="en-US"/>
        </a:p>
      </dgm:t>
    </dgm:pt>
    <dgm:pt modelId="{A4D15F51-D5B8-4FEF-AC1F-DDC6C711288A}" type="pres">
      <dgm:prSet presAssocID="{C3C9244B-6B8D-431D-AE6F-7BCD90AB9A2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4F679C8-DA1F-4869-9C94-982F261574D1}" type="pres">
      <dgm:prSet presAssocID="{ED35E908-99EA-4021-B7AA-FFFF751752DA}" presName="linNode" presStyleCnt="0"/>
      <dgm:spPr/>
    </dgm:pt>
    <dgm:pt modelId="{287B5900-FDF9-4D22-B246-5318F5951704}" type="pres">
      <dgm:prSet presAssocID="{ED35E908-99EA-4021-B7AA-FFFF751752DA}" presName="parentText" presStyleLbl="node1" presStyleIdx="0" presStyleCnt="1" custScaleX="32351" custScaleY="83387" custLinFactNeighborX="-807" custLinFactNeighborY="-215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5A961A-C185-4492-A3AB-0E0AC3BBFA0A}" type="pres">
      <dgm:prSet presAssocID="{ED35E908-99EA-4021-B7AA-FFFF751752DA}" presName="descendantText" presStyleLbl="alignAccFollowNode1" presStyleIdx="0" presStyleCnt="1" custScaleX="137890" custScaleY="1116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B8D2F4D-3AE6-40EE-99D7-39E9255BE223}" srcId="{ED35E908-99EA-4021-B7AA-FFFF751752DA}" destId="{3EE877E5-497D-48F8-B93E-6023B73C0C2D}" srcOrd="0" destOrd="0" parTransId="{BEA43897-41C0-42A4-AE87-FCE7A82F6A6F}" sibTransId="{6C418379-0772-4BBC-B3F6-26ADAC407FFA}"/>
    <dgm:cxn modelId="{BEB1407D-06DE-472E-AA1D-AF09A0364216}" type="presOf" srcId="{786DB3FD-E812-4877-B69F-00DB3173BB2A}" destId="{D85A961A-C185-4492-A3AB-0E0AC3BBFA0A}" srcOrd="0" destOrd="1" presId="urn:microsoft.com/office/officeart/2005/8/layout/vList5"/>
    <dgm:cxn modelId="{A4DCE4CB-7044-48EC-92E9-056644B64D6E}" srcId="{C3C9244B-6B8D-431D-AE6F-7BCD90AB9A2A}" destId="{ED35E908-99EA-4021-B7AA-FFFF751752DA}" srcOrd="0" destOrd="0" parTransId="{FA98AEA8-BBB6-49D3-A9FD-15D5FFC20870}" sibTransId="{711F6B08-52D1-4548-9C05-18D8AD05C364}"/>
    <dgm:cxn modelId="{05A5B929-C7D3-486E-A889-A8963AD7F665}" srcId="{ED35E908-99EA-4021-B7AA-FFFF751752DA}" destId="{786DB3FD-E812-4877-B69F-00DB3173BB2A}" srcOrd="1" destOrd="0" parTransId="{05CCCB93-0B3C-4714-9034-7F5EC9E966C9}" sibTransId="{A6CA643C-E9F9-44B6-8E13-8162919BA6B5}"/>
    <dgm:cxn modelId="{6BBEBEAF-AC07-4C97-B7F1-91E714DDA0B4}" type="presOf" srcId="{C3C9244B-6B8D-431D-AE6F-7BCD90AB9A2A}" destId="{A4D15F51-D5B8-4FEF-AC1F-DDC6C711288A}" srcOrd="0" destOrd="0" presId="urn:microsoft.com/office/officeart/2005/8/layout/vList5"/>
    <dgm:cxn modelId="{21DF847A-057A-4843-B9D6-DF38E758A2E8}" type="presOf" srcId="{ED35E908-99EA-4021-B7AA-FFFF751752DA}" destId="{287B5900-FDF9-4D22-B246-5318F5951704}" srcOrd="0" destOrd="0" presId="urn:microsoft.com/office/officeart/2005/8/layout/vList5"/>
    <dgm:cxn modelId="{7F7044CC-91DD-408B-AD8D-1B7D6C174E5E}" srcId="{ED35E908-99EA-4021-B7AA-FFFF751752DA}" destId="{A12BDEF9-C25B-4822-B840-B982EF74DD63}" srcOrd="2" destOrd="0" parTransId="{59ED78B4-6549-4D8F-AA6D-926705247978}" sibTransId="{DCECD186-0C15-4E3C-ACA0-4437F53EC595}"/>
    <dgm:cxn modelId="{6C8061AA-2479-4B6B-9A60-5899336B3324}" type="presOf" srcId="{A12BDEF9-C25B-4822-B840-B982EF74DD63}" destId="{D85A961A-C185-4492-A3AB-0E0AC3BBFA0A}" srcOrd="0" destOrd="2" presId="urn:microsoft.com/office/officeart/2005/8/layout/vList5"/>
    <dgm:cxn modelId="{D2441CBC-FCB0-4CF3-BFD3-33B5548E76D3}" type="presOf" srcId="{3EE877E5-497D-48F8-B93E-6023B73C0C2D}" destId="{D85A961A-C185-4492-A3AB-0E0AC3BBFA0A}" srcOrd="0" destOrd="0" presId="urn:microsoft.com/office/officeart/2005/8/layout/vList5"/>
    <dgm:cxn modelId="{D3FD2C31-158B-4BB5-B41A-12FC6616630C}" type="presParOf" srcId="{A4D15F51-D5B8-4FEF-AC1F-DDC6C711288A}" destId="{14F679C8-DA1F-4869-9C94-982F261574D1}" srcOrd="0" destOrd="0" presId="urn:microsoft.com/office/officeart/2005/8/layout/vList5"/>
    <dgm:cxn modelId="{0BC6169B-04CE-4F44-A9C6-382A3E1F90F7}" type="presParOf" srcId="{14F679C8-DA1F-4869-9C94-982F261574D1}" destId="{287B5900-FDF9-4D22-B246-5318F5951704}" srcOrd="0" destOrd="0" presId="urn:microsoft.com/office/officeart/2005/8/layout/vList5"/>
    <dgm:cxn modelId="{99E60C3F-8048-4BC8-A21F-09808D04466F}" type="presParOf" srcId="{14F679C8-DA1F-4869-9C94-982F261574D1}" destId="{D85A961A-C185-4492-A3AB-0E0AC3BBFA0A}" srcOrd="1" destOrd="0" presId="urn:microsoft.com/office/officeart/2005/8/layout/vList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C9244B-6B8D-431D-AE6F-7BCD90AB9A2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D35E908-99EA-4021-B7AA-FFFF751752DA}">
      <dgm:prSet phldrT="[Text]" custT="1"/>
      <dgm:spPr/>
      <dgm:t>
        <a:bodyPr/>
        <a:lstStyle/>
        <a:p>
          <a:r>
            <a:rPr lang="en-US" sz="800"/>
            <a:t>Biology/Life Sciences Standards</a:t>
          </a:r>
        </a:p>
      </dgm:t>
    </dgm:pt>
    <dgm:pt modelId="{FA98AEA8-BBB6-49D3-A9FD-15D5FFC20870}" type="parTrans" cxnId="{A4DCE4CB-7044-48EC-92E9-056644B64D6E}">
      <dgm:prSet/>
      <dgm:spPr/>
      <dgm:t>
        <a:bodyPr/>
        <a:lstStyle/>
        <a:p>
          <a:endParaRPr lang="en-US"/>
        </a:p>
      </dgm:t>
    </dgm:pt>
    <dgm:pt modelId="{711F6B08-52D1-4548-9C05-18D8AD05C364}" type="sibTrans" cxnId="{A4DCE4CB-7044-48EC-92E9-056644B64D6E}">
      <dgm:prSet/>
      <dgm:spPr/>
      <dgm:t>
        <a:bodyPr/>
        <a:lstStyle/>
        <a:p>
          <a:endParaRPr lang="en-US"/>
        </a:p>
      </dgm:t>
    </dgm:pt>
    <dgm:pt modelId="{3EE877E5-497D-48F8-B93E-6023B73C0C2D}">
      <dgm:prSet phldrT="[Text]" custT="1"/>
      <dgm:spPr/>
      <dgm:t>
        <a:bodyPr/>
        <a:lstStyle/>
        <a:p>
          <a:r>
            <a:rPr lang="en-US" sz="800"/>
            <a:t>(BLS) 9.a.</a:t>
          </a:r>
        </a:p>
      </dgm:t>
    </dgm:pt>
    <dgm:pt modelId="{BEA43897-41C0-42A4-AE87-FCE7A82F6A6F}" type="parTrans" cxnId="{7B8D2F4D-3AE6-40EE-99D7-39E9255BE223}">
      <dgm:prSet/>
      <dgm:spPr/>
      <dgm:t>
        <a:bodyPr/>
        <a:lstStyle/>
        <a:p>
          <a:endParaRPr lang="en-US"/>
        </a:p>
      </dgm:t>
    </dgm:pt>
    <dgm:pt modelId="{6C418379-0772-4BBC-B3F6-26ADAC407FFA}" type="sibTrans" cxnId="{7B8D2F4D-3AE6-40EE-99D7-39E9255BE223}">
      <dgm:prSet/>
      <dgm:spPr/>
      <dgm:t>
        <a:bodyPr/>
        <a:lstStyle/>
        <a:p>
          <a:endParaRPr lang="en-US"/>
        </a:p>
      </dgm:t>
    </dgm:pt>
    <dgm:pt modelId="{A4D15F51-D5B8-4FEF-AC1F-DDC6C711288A}" type="pres">
      <dgm:prSet presAssocID="{C3C9244B-6B8D-431D-AE6F-7BCD90AB9A2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4F679C8-DA1F-4869-9C94-982F261574D1}" type="pres">
      <dgm:prSet presAssocID="{ED35E908-99EA-4021-B7AA-FFFF751752DA}" presName="linNode" presStyleCnt="0"/>
      <dgm:spPr/>
    </dgm:pt>
    <dgm:pt modelId="{287B5900-FDF9-4D22-B246-5318F5951704}" type="pres">
      <dgm:prSet presAssocID="{ED35E908-99EA-4021-B7AA-FFFF751752DA}" presName="parentText" presStyleLbl="node1" presStyleIdx="0" presStyleCnt="1" custScaleX="32855" custScaleY="83387" custLinFactNeighborX="-662" custLinFactNeighborY="-107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5A961A-C185-4492-A3AB-0E0AC3BBFA0A}" type="pres">
      <dgm:prSet presAssocID="{ED35E908-99EA-4021-B7AA-FFFF751752DA}" presName="descendantText" presStyleLbl="alignAccFollowNode1" presStyleIdx="0" presStyleCnt="1" custScaleX="137904" custScaleY="1116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6D80B4-27C3-4873-BCFF-4154F0A375BC}" type="presOf" srcId="{ED35E908-99EA-4021-B7AA-FFFF751752DA}" destId="{287B5900-FDF9-4D22-B246-5318F5951704}" srcOrd="0" destOrd="0" presId="urn:microsoft.com/office/officeart/2005/8/layout/vList5"/>
    <dgm:cxn modelId="{990E26A4-C9AC-45B4-99FF-5CDE00BDA018}" type="presOf" srcId="{C3C9244B-6B8D-431D-AE6F-7BCD90AB9A2A}" destId="{A4D15F51-D5B8-4FEF-AC1F-DDC6C711288A}" srcOrd="0" destOrd="0" presId="urn:microsoft.com/office/officeart/2005/8/layout/vList5"/>
    <dgm:cxn modelId="{DBA5DBFB-C7EC-4583-91CA-3F30F92EA733}" type="presOf" srcId="{3EE877E5-497D-48F8-B93E-6023B73C0C2D}" destId="{D85A961A-C185-4492-A3AB-0E0AC3BBFA0A}" srcOrd="0" destOrd="0" presId="urn:microsoft.com/office/officeart/2005/8/layout/vList5"/>
    <dgm:cxn modelId="{A4DCE4CB-7044-48EC-92E9-056644B64D6E}" srcId="{C3C9244B-6B8D-431D-AE6F-7BCD90AB9A2A}" destId="{ED35E908-99EA-4021-B7AA-FFFF751752DA}" srcOrd="0" destOrd="0" parTransId="{FA98AEA8-BBB6-49D3-A9FD-15D5FFC20870}" sibTransId="{711F6B08-52D1-4548-9C05-18D8AD05C364}"/>
    <dgm:cxn modelId="{7B8D2F4D-3AE6-40EE-99D7-39E9255BE223}" srcId="{ED35E908-99EA-4021-B7AA-FFFF751752DA}" destId="{3EE877E5-497D-48F8-B93E-6023B73C0C2D}" srcOrd="0" destOrd="0" parTransId="{BEA43897-41C0-42A4-AE87-FCE7A82F6A6F}" sibTransId="{6C418379-0772-4BBC-B3F6-26ADAC407FFA}"/>
    <dgm:cxn modelId="{B824A6B0-67D1-4A5F-8C33-18E0E35BDC29}" type="presParOf" srcId="{A4D15F51-D5B8-4FEF-AC1F-DDC6C711288A}" destId="{14F679C8-DA1F-4869-9C94-982F261574D1}" srcOrd="0" destOrd="0" presId="urn:microsoft.com/office/officeart/2005/8/layout/vList5"/>
    <dgm:cxn modelId="{D04C84B8-8449-4198-AE1B-70F8C66000A8}" type="presParOf" srcId="{14F679C8-DA1F-4869-9C94-982F261574D1}" destId="{287B5900-FDF9-4D22-B246-5318F5951704}" srcOrd="0" destOrd="0" presId="urn:microsoft.com/office/officeart/2005/8/layout/vList5"/>
    <dgm:cxn modelId="{AE27B9B4-73FD-465C-977E-596B24883C52}" type="presParOf" srcId="{14F679C8-DA1F-4869-9C94-982F261574D1}" destId="{D85A961A-C185-4492-A3AB-0E0AC3BBFA0A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526B-C56E-47FF-A21C-2A240EF1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srocca</cp:lastModifiedBy>
  <cp:revision>5</cp:revision>
  <dcterms:created xsi:type="dcterms:W3CDTF">2009-08-06T22:30:00Z</dcterms:created>
  <dcterms:modified xsi:type="dcterms:W3CDTF">2009-09-24T01:02:00Z</dcterms:modified>
</cp:coreProperties>
</file>